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0"/>
        <w:ind/>
        <w:rPr>
          <w:rFonts w:ascii="PF Din Text Cond Pro Medium" w:hAnsi="PF Din Text Cond Pro Medium"/>
          <w:b w:val="1"/>
          <w:sz w:val="48"/>
        </w:rPr>
      </w:pPr>
      <w:r>
        <w:drawing>
          <wp:inline>
            <wp:extent cx="4105275" cy="811864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4105275" cy="8118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/>
        <w:jc w:val="center"/>
        <w:rPr>
          <w:rFonts w:ascii="PF Din Text Cond Pro Medium" w:hAnsi="PF Din Text Cond Pro Medium"/>
          <w:b w:val="1"/>
          <w:sz w:val="48"/>
        </w:rPr>
      </w:pPr>
    </w:p>
    <w:p w14:paraId="03000000">
      <w:pPr>
        <w:spacing w:after="0"/>
        <w:ind/>
        <w:jc w:val="center"/>
        <w:rPr>
          <w:rFonts w:ascii="Arial Narrow" w:hAnsi="Arial Narrow"/>
          <w:b w:val="1"/>
          <w:color w:val="D71920"/>
          <w:sz w:val="48"/>
        </w:rPr>
      </w:pPr>
      <w:r>
        <w:rPr>
          <w:rFonts w:ascii="Arial Narrow" w:hAnsi="Arial Narrow"/>
          <w:b w:val="1"/>
          <w:color w:val="D71920"/>
          <w:sz w:val="48"/>
        </w:rPr>
        <w:t>Уважаемые налогоплательщики</w:t>
      </w:r>
      <w:r>
        <w:rPr>
          <w:rFonts w:ascii="Arial Narrow" w:hAnsi="Arial Narrow"/>
          <w:b w:val="1"/>
          <w:color w:val="D71920"/>
          <w:sz w:val="48"/>
        </w:rPr>
        <w:t>!</w:t>
      </w:r>
      <w:r>
        <w:rPr>
          <w:rFonts w:ascii="Arial Narrow" w:hAnsi="Arial Narrow"/>
          <w:b w:val="1"/>
          <w:color w:val="D71920"/>
          <w:sz w:val="48"/>
        </w:rPr>
        <w:t xml:space="preserve"> </w:t>
      </w:r>
    </w:p>
    <w:p w14:paraId="04000000">
      <w:pPr>
        <w:spacing w:after="0"/>
        <w:ind/>
        <w:jc w:val="center"/>
        <w:rPr>
          <w:rFonts w:ascii="Arial Narrow" w:hAnsi="Arial Narrow"/>
          <w:b w:val="1"/>
          <w:color w:val="0066B3"/>
          <w:sz w:val="32"/>
        </w:rPr>
      </w:pPr>
    </w:p>
    <w:p w14:paraId="05000000">
      <w:pPr>
        <w:pStyle w:val="Style_1"/>
        <w:ind w:firstLine="709"/>
        <w:contextualSpacing w:val="1"/>
        <w:jc w:val="both"/>
        <w:rPr>
          <w:rFonts w:ascii="Arial Narrow" w:hAnsi="Arial Narrow"/>
          <w:color w:val="0066B3"/>
          <w:sz w:val="36"/>
        </w:rPr>
      </w:pPr>
      <w:r>
        <w:rPr>
          <w:rFonts w:ascii="Arial Narrow" w:hAnsi="Arial Narrow"/>
          <w:color w:val="0066B3"/>
          <w:sz w:val="36"/>
        </w:rPr>
        <w:t xml:space="preserve">УФНС России по Забайкальскому краю </w:t>
      </w:r>
      <w:r>
        <w:rPr>
          <w:rFonts w:ascii="Arial Narrow" w:hAnsi="Arial Narrow"/>
          <w:color w:val="0066B3"/>
          <w:sz w:val="36"/>
        </w:rPr>
        <w:t xml:space="preserve">информирует, </w:t>
      </w:r>
      <w:r>
        <w:rPr>
          <w:rFonts w:ascii="Arial Narrow" w:hAnsi="Arial Narrow"/>
          <w:color w:val="0066B3"/>
          <w:sz w:val="36"/>
        </w:rPr>
        <w:t xml:space="preserve">что </w:t>
      </w:r>
      <w:r>
        <w:rPr>
          <w:rFonts w:ascii="Arial Narrow" w:hAnsi="Arial Narrow"/>
          <w:color w:val="0066B3"/>
          <w:sz w:val="36"/>
        </w:rPr>
        <w:t>в соответствии с постановление</w:t>
      </w:r>
      <w:r>
        <w:rPr>
          <w:rFonts w:ascii="Arial Narrow" w:hAnsi="Arial Narrow"/>
          <w:color w:val="0066B3"/>
          <w:sz w:val="36"/>
        </w:rPr>
        <w:t>м</w:t>
      </w:r>
      <w:r>
        <w:rPr>
          <w:rFonts w:ascii="Arial Narrow" w:hAnsi="Arial Narrow"/>
          <w:color w:val="0066B3"/>
          <w:sz w:val="36"/>
        </w:rPr>
        <w:t xml:space="preserve"> Правительства Российской Федерации от 02.04.2020 № 409 «О мерах по обеспечению устойчивого развития экономики» для организаций, включенных на 01.03.2020 в соответствии с Федеральным законом от 24.07.2007 № 209-ФЗ «О развитии малого и среднего предпринимательства в Российской Федерации» в единый реестр субъектов малого и среднего предпринимательства, и занятым в сферах деятельности, наиболее</w:t>
      </w:r>
      <w:r>
        <w:rPr>
          <w:rFonts w:ascii="Arial Narrow" w:hAnsi="Arial Narrow"/>
          <w:color w:val="0066B3"/>
          <w:sz w:val="36"/>
        </w:rPr>
        <w:t xml:space="preserve"> пострадавших в условиях ухудшения ситуации в связи с распространением новой </w:t>
      </w:r>
      <w:r>
        <w:rPr>
          <w:rFonts w:ascii="Arial Narrow" w:hAnsi="Arial Narrow"/>
          <w:color w:val="0066B3"/>
          <w:sz w:val="36"/>
        </w:rPr>
        <w:t>коронавирусной</w:t>
      </w:r>
      <w:r>
        <w:rPr>
          <w:rFonts w:ascii="Arial Narrow" w:hAnsi="Arial Narrow"/>
          <w:color w:val="0066B3"/>
          <w:sz w:val="36"/>
        </w:rPr>
        <w:t xml:space="preserve"> инфекции, перечень которых утвержден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r>
        <w:rPr>
          <w:rFonts w:ascii="Arial Narrow" w:hAnsi="Arial Narrow"/>
          <w:color w:val="0066B3"/>
          <w:sz w:val="36"/>
        </w:rPr>
        <w:t>коронавирусной</w:t>
      </w:r>
      <w:r>
        <w:rPr>
          <w:rFonts w:ascii="Arial Narrow" w:hAnsi="Arial Narrow"/>
          <w:color w:val="0066B3"/>
          <w:sz w:val="36"/>
        </w:rPr>
        <w:t xml:space="preserve"> инфекции»: </w:t>
      </w:r>
    </w:p>
    <w:p w14:paraId="06000000">
      <w:pPr>
        <w:spacing w:after="0" w:line="240" w:lineRule="auto"/>
        <w:ind w:firstLine="709"/>
        <w:contextualSpacing w:val="1"/>
        <w:jc w:val="both"/>
        <w:rPr>
          <w:rFonts w:ascii="Arial Narrow" w:hAnsi="Arial Narrow"/>
          <w:color w:val="0066B3"/>
          <w:sz w:val="36"/>
        </w:rPr>
      </w:pPr>
      <w:r>
        <w:rPr>
          <w:rFonts w:ascii="Arial Narrow" w:hAnsi="Arial Narrow"/>
          <w:color w:val="0066B3"/>
          <w:sz w:val="36"/>
        </w:rPr>
        <w:t>I) в случае,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данные авансовые платежи подлежат уплате:</w:t>
      </w:r>
    </w:p>
    <w:p w14:paraId="07000000">
      <w:pPr>
        <w:spacing w:after="0" w:line="240" w:lineRule="auto"/>
        <w:ind w:firstLine="709"/>
        <w:contextualSpacing w:val="1"/>
        <w:jc w:val="both"/>
        <w:rPr>
          <w:rFonts w:ascii="Arial Narrow" w:hAnsi="Arial Narrow"/>
          <w:color w:val="0066B3"/>
          <w:sz w:val="36"/>
        </w:rPr>
      </w:pPr>
      <w:r>
        <w:rPr>
          <w:rFonts w:ascii="Arial Narrow" w:hAnsi="Arial Narrow"/>
          <w:color w:val="0066B3"/>
          <w:sz w:val="36"/>
        </w:rPr>
        <w:t>за I квартал 2020 г. – не позднее 30.10.2020;</w:t>
      </w:r>
    </w:p>
    <w:p w14:paraId="08000000">
      <w:pPr>
        <w:spacing w:after="0" w:line="240" w:lineRule="auto"/>
        <w:ind w:firstLine="709"/>
        <w:contextualSpacing w:val="1"/>
        <w:jc w:val="both"/>
        <w:rPr>
          <w:rFonts w:ascii="Arial Narrow" w:hAnsi="Arial Narrow"/>
          <w:color w:val="0066B3"/>
          <w:sz w:val="36"/>
        </w:rPr>
      </w:pPr>
      <w:r>
        <w:rPr>
          <w:rFonts w:ascii="Arial Narrow" w:hAnsi="Arial Narrow"/>
          <w:color w:val="0066B3"/>
          <w:sz w:val="36"/>
        </w:rPr>
        <w:t>за II квартал 2020 г. – не позднее 30.12.2020;</w:t>
      </w:r>
    </w:p>
    <w:p w14:paraId="09000000">
      <w:pPr>
        <w:spacing w:after="0" w:line="240" w:lineRule="auto"/>
        <w:ind w:firstLine="709"/>
        <w:contextualSpacing w:val="1"/>
        <w:jc w:val="both"/>
        <w:rPr>
          <w:rFonts w:ascii="Arial Narrow" w:hAnsi="Arial Narrow"/>
          <w:color w:val="0066B3"/>
          <w:sz w:val="36"/>
        </w:rPr>
      </w:pPr>
      <w:r>
        <w:rPr>
          <w:rFonts w:ascii="Arial Narrow" w:hAnsi="Arial Narrow"/>
          <w:color w:val="0066B3"/>
          <w:sz w:val="36"/>
        </w:rPr>
        <w:t xml:space="preserve">II) Для всех налогоплательщиков налога на имущество организаций продлен на три </w:t>
      </w:r>
      <w:r>
        <w:rPr>
          <w:rFonts w:ascii="Arial Narrow" w:hAnsi="Arial Narrow"/>
          <w:color w:val="0066B3"/>
          <w:sz w:val="36"/>
        </w:rPr>
        <w:t>месяца установленный Налоговым к</w:t>
      </w:r>
      <w:r>
        <w:rPr>
          <w:rFonts w:ascii="Arial Narrow" w:hAnsi="Arial Narrow"/>
          <w:color w:val="0066B3"/>
          <w:sz w:val="36"/>
        </w:rPr>
        <w:t xml:space="preserve">одексом Российской Федерации срок представления налоговой декларации по этому налогу за налоговый период 2019 года, т.е. до 30.06.2020 (включительно), без продления срока уплаты налога. </w:t>
      </w:r>
    </w:p>
    <w:p w14:paraId="0A000000">
      <w:bookmarkStart w:id="1" w:name="_GoBack"/>
      <w:bookmarkEnd w:id="1"/>
    </w:p>
    <w:p w14:paraId="0B000000">
      <w:pPr>
        <w:rPr>
          <w:rFonts w:ascii="Arial Narrow" w:hAnsi="Arial Narrow"/>
        </w:rPr>
      </w:pPr>
      <w:r>
        <w:rPr>
          <w:rStyle w:val="Style_2_ch"/>
          <w:rFonts w:ascii="Arial Narrow" w:hAnsi="Arial Narrow"/>
          <w:color w:themeColor="accent1" w:val="000000"/>
          <w:sz w:val="32"/>
        </w:rPr>
        <w:fldChar w:fldCharType="begin"/>
      </w:r>
      <w:r>
        <w:rPr>
          <w:rStyle w:val="Style_2_ch"/>
          <w:rFonts w:ascii="Arial Narrow" w:hAnsi="Arial Narrow"/>
          <w:color w:themeColor="accent1" w:val="000000"/>
          <w:sz w:val="32"/>
        </w:rPr>
        <w:instrText>HYPERLINK "http://www.nalog.ru"</w:instrText>
      </w:r>
      <w:r>
        <w:rPr>
          <w:rStyle w:val="Style_2_ch"/>
          <w:rFonts w:ascii="Arial Narrow" w:hAnsi="Arial Narrow"/>
          <w:color w:themeColor="accent1" w:val="000000"/>
          <w:sz w:val="32"/>
        </w:rPr>
        <w:fldChar w:fldCharType="separate"/>
      </w:r>
      <w:r>
        <w:rPr>
          <w:rStyle w:val="Style_2_ch"/>
          <w:rFonts w:ascii="Arial Narrow" w:hAnsi="Arial Narrow"/>
          <w:color w:themeColor="accent1" w:val="000000"/>
          <w:sz w:val="32"/>
        </w:rPr>
        <w:t>www.nalog.ru</w:t>
      </w:r>
      <w:r>
        <w:rPr>
          <w:rStyle w:val="Style_2_ch"/>
          <w:rFonts w:ascii="Arial Narrow" w:hAnsi="Arial Narrow"/>
          <w:color w:themeColor="accent1" w:val="000000"/>
          <w:sz w:val="32"/>
        </w:rPr>
        <w:fldChar w:fldCharType="end"/>
      </w:r>
      <w:r>
        <w:rPr>
          <w:rFonts w:ascii="Arial Narrow" w:hAnsi="Arial Narrow"/>
          <w:color w:themeColor="accent1" w:val="000000"/>
          <w:sz w:val="32"/>
        </w:rPr>
        <w:t xml:space="preserve">                                                                        </w:t>
      </w:r>
      <w:r>
        <w:rPr>
          <w:rFonts w:ascii="Arial Narrow" w:hAnsi="Arial Narrow"/>
          <w:color w:themeColor="accent1" w:val="000000"/>
          <w:sz w:val="32"/>
        </w:rPr>
        <w:t xml:space="preserve">          </w:t>
      </w:r>
      <w:r>
        <w:rPr>
          <w:rFonts w:ascii="Arial Narrow" w:hAnsi="Arial Narrow"/>
          <w:color w:themeColor="accent1" w:val="000000"/>
          <w:sz w:val="32"/>
        </w:rPr>
        <w:t xml:space="preserve">  </w:t>
      </w:r>
      <w:r>
        <w:rPr>
          <w:rFonts w:ascii="Arial Narrow" w:hAnsi="Arial Narrow"/>
          <w:color w:val="D71920"/>
          <w:sz w:val="32"/>
        </w:rPr>
        <w:t>8-800-222-22-2</w:t>
      </w:r>
      <w:r>
        <w:rPr>
          <w:rFonts w:ascii="Arial Narrow" w:hAnsi="Arial Narrow"/>
          <w:color w:val="D71920"/>
          <w:sz w:val="32"/>
        </w:rPr>
        <w:t>2</w:t>
      </w:r>
    </w:p>
    <w:sectPr>
      <w:pgSz w:h="16838" w:w="11906"/>
      <w:pgMar w:bottom="1134" w:footer="708" w:gutter="0" w:header="708" w:left="1134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Normal (Web)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3_ch"/>
    <w:link w:val="Style_9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00"/>
      <w:u w:val="single"/>
    </w:rPr>
  </w:style>
  <w:style w:styleId="Style_2_ch" w:type="character">
    <w:name w:val="Hyperlink"/>
    <w:basedOn w:val="Style_13_ch"/>
    <w:link w:val="Style_2"/>
    <w:rPr>
      <w:color w:themeColor="hyperlink" w:val="000000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