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DF6A87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0205F1" w:rsidRDefault="000205F1" w:rsidP="000205F1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«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 г., 09 час. 00 мин. по адресу организатора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окончание приёма и регистрации заявок - </w:t>
      </w:r>
      <w:bookmarkStart w:id="2" w:name="_Hlk133485155"/>
      <w:bookmarkStart w:id="3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низатора конкурса.</w:t>
      </w:r>
    </w:p>
    <w:p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конкурсе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18»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 г., в 10 час. 00 мин. по адресу организатора конкурса.</w:t>
      </w:r>
    </w:p>
    <w:p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0205F1" w:rsidRDefault="00185146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«18» декабря </w:t>
      </w:r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г. по адресу организатора конкурса.</w:t>
      </w:r>
    </w:p>
    <w:p w:rsidR="000205F1" w:rsidRDefault="000205F1" w:rsidP="000205F1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0205F1" w:rsidRDefault="00185146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«18» декабря </w:t>
      </w:r>
      <w:bookmarkStart w:id="4" w:name="_GoBack"/>
      <w:bookmarkEnd w:id="4"/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г.</w:t>
      </w:r>
      <w:r w:rsidR="000205F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:rsidR="000205F1" w:rsidRDefault="000205F1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5" w:name="bookmark4"/>
      <w:bookmarkStart w:id="6" w:name="bookmark5"/>
      <w:bookmarkStart w:id="7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5"/>
      <w:bookmarkEnd w:id="6"/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5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7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 xml:space="preserve">заявителя в течение года, предшествующего дате </w:t>
      </w:r>
      <w:r w:rsidR="002C3EA3">
        <w:rPr>
          <w:color w:val="000000"/>
          <w:sz w:val="24"/>
          <w:szCs w:val="24"/>
          <w:lang w:eastAsia="ru-RU" w:bidi="ru-RU"/>
        </w:rPr>
        <w:t>размещения извещения о проведении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2C3EA3" w:rsidRPr="002C3EA3" w:rsidRDefault="002C3EA3" w:rsidP="002C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A3">
        <w:rPr>
          <w:rFonts w:ascii="Times New Roman" w:hAnsi="Times New Roman" w:cs="Times New Roman"/>
          <w:sz w:val="24"/>
          <w:szCs w:val="24"/>
        </w:rPr>
        <w:t>6.2.21. Сведения о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A3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rFonts w:ascii="Times New Roman" w:hAnsi="Times New Roman" w:cs="Times New Roman"/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конкурса.</w:t>
      </w:r>
    </w:p>
    <w:p w:rsidR="002C3EA3" w:rsidRPr="002C3EA3" w:rsidRDefault="002C3EA3" w:rsidP="002C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A3">
        <w:rPr>
          <w:rFonts w:ascii="Times New Roman" w:hAnsi="Times New Roman" w:cs="Times New Roman"/>
          <w:sz w:val="24"/>
          <w:szCs w:val="24"/>
        </w:rPr>
        <w:t>6.2.22. 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>,</w:t>
      </w:r>
      <w:r w:rsidR="009B14CA">
        <w:rPr>
          <w:color w:val="000000"/>
          <w:sz w:val="24"/>
          <w:szCs w:val="24"/>
          <w:lang w:eastAsia="ru-RU" w:bidi="ru-RU"/>
        </w:rPr>
        <w:t xml:space="preserve"> 6.2.21, 6.2.22</w:t>
      </w:r>
      <w:r w:rsidR="00A3089B">
        <w:rPr>
          <w:color w:val="000000"/>
          <w:sz w:val="24"/>
          <w:szCs w:val="24"/>
          <w:lang w:eastAsia="ru-RU" w:bidi="ru-RU"/>
        </w:rPr>
        <w:t xml:space="preserve">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9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2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3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4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5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6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7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8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9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0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0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1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1"/>
      <w:bookmarkStart w:id="34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3"/>
      <w:bookmarkEnd w:id="34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5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0"/>
      <w:bookmarkStart w:id="37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6"/>
      <w:bookmarkEnd w:id="37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8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9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9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0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0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2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3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4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57"/>
      <w:bookmarkStart w:id="46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5"/>
      <w:bookmarkEnd w:id="46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7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8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9" w:name="bookmark61"/>
            <w:bookmarkStart w:id="50" w:name="bookmark62"/>
            <w:bookmarkStart w:id="51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9"/>
            <w:bookmarkEnd w:id="50"/>
            <w:bookmarkEnd w:id="51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5"/>
      <w:bookmarkStart w:id="54" w:name="bookmark66"/>
      <w:bookmarkStart w:id="55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3"/>
      <w:bookmarkEnd w:id="54"/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9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0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3"/>
      <w:bookmarkStart w:id="62" w:name="bookmark74"/>
      <w:bookmarkStart w:id="63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1"/>
      <w:bookmarkEnd w:id="62"/>
      <w:bookmarkEnd w:id="63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4" w:name="bookmark76"/>
      <w:bookmarkStart w:id="65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4"/>
      <w:bookmarkEnd w:id="65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DF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05F1"/>
    <w:rsid w:val="00026E4F"/>
    <w:rsid w:val="00141BDB"/>
    <w:rsid w:val="00185146"/>
    <w:rsid w:val="001B3EFC"/>
    <w:rsid w:val="002B1F65"/>
    <w:rsid w:val="002C2EF9"/>
    <w:rsid w:val="002C3C28"/>
    <w:rsid w:val="002C3EA3"/>
    <w:rsid w:val="003158CB"/>
    <w:rsid w:val="00335D6D"/>
    <w:rsid w:val="00373D22"/>
    <w:rsid w:val="003B2243"/>
    <w:rsid w:val="004538DE"/>
    <w:rsid w:val="004A5BFF"/>
    <w:rsid w:val="004E58A5"/>
    <w:rsid w:val="005B4AAB"/>
    <w:rsid w:val="005D72A2"/>
    <w:rsid w:val="00627B2C"/>
    <w:rsid w:val="00677261"/>
    <w:rsid w:val="006A673D"/>
    <w:rsid w:val="006B2DDD"/>
    <w:rsid w:val="006B7848"/>
    <w:rsid w:val="00715B8B"/>
    <w:rsid w:val="007455CE"/>
    <w:rsid w:val="00865D65"/>
    <w:rsid w:val="00940621"/>
    <w:rsid w:val="0096114E"/>
    <w:rsid w:val="0096120A"/>
    <w:rsid w:val="009658BC"/>
    <w:rsid w:val="009A2BC9"/>
    <w:rsid w:val="009B14CA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DF6A87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4D5B"/>
  <w15:docId w15:val="{16AC33C7-2CCA-4312-BA30-CB57FAD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22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52</cp:revision>
  <cp:lastPrinted>2018-08-14T00:58:00Z</cp:lastPrinted>
  <dcterms:created xsi:type="dcterms:W3CDTF">2018-08-14T00:34:00Z</dcterms:created>
  <dcterms:modified xsi:type="dcterms:W3CDTF">2023-11-10T02:19:00Z</dcterms:modified>
</cp:coreProperties>
</file>